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DEA6" w14:textId="77777777"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bookmarkStart w:id="0" w:name="_GoBack"/>
      <w:bookmarkEnd w:id="0"/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14:paraId="29764ADE" w14:textId="77777777"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14:paraId="3A22E1D8" w14:textId="77777777"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14:paraId="673EE1F9" w14:textId="77777777"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4A9B" w:rsidRPr="00344A9B" w14:paraId="4F58C31C" w14:textId="77777777" w:rsidTr="00AE10B5">
        <w:tc>
          <w:tcPr>
            <w:tcW w:w="5000" w:type="pct"/>
          </w:tcPr>
          <w:p w14:paraId="72700ABC" w14:textId="77777777"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344A9B" w:rsidRPr="00344A9B" w14:paraId="4AB72FDD" w14:textId="77777777" w:rsidTr="00AE10B5">
        <w:tc>
          <w:tcPr>
            <w:tcW w:w="5000" w:type="pct"/>
          </w:tcPr>
          <w:p w14:paraId="1B41E9E8" w14:textId="77777777"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14:paraId="70B40F2B" w14:textId="77777777"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14:paraId="46B6D550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14:paraId="6F223F1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14:paraId="0FDB5E2E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14:paraId="6DB8B1E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14:paraId="618D9E51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14:paraId="10FF7AA5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14:paraId="3410D107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14:paraId="042FBF28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14:paraId="36C50B31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14:paraId="404B3057" w14:textId="77777777"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14:paraId="1F8A55C5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14:paraId="19092A14" w14:textId="77777777"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344A9B" w:rsidRPr="00C2303B" w14:paraId="2C8F6135" w14:textId="77777777" w:rsidTr="00C2303B">
        <w:tc>
          <w:tcPr>
            <w:tcW w:w="8784" w:type="dxa"/>
          </w:tcPr>
          <w:p w14:paraId="0FA00DFF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14:paraId="0A45A31E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14:paraId="31EF2460" w14:textId="77777777" w:rsidTr="00C2303B">
        <w:tc>
          <w:tcPr>
            <w:tcW w:w="8784" w:type="dxa"/>
          </w:tcPr>
          <w:p w14:paraId="139107A5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14:paraId="3DDF132B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14:paraId="627C81C8" w14:textId="77777777" w:rsidTr="00C2303B">
        <w:tc>
          <w:tcPr>
            <w:tcW w:w="8784" w:type="dxa"/>
          </w:tcPr>
          <w:p w14:paraId="3E5342DA" w14:textId="77777777"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14:paraId="1B388615" w14:textId="77777777"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</w:tbl>
    <w:p w14:paraId="5D8BD1A9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программ: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4522"/>
      </w:tblGrid>
      <w:tr w:rsidR="00344A9B" w:rsidRPr="00344A9B" w14:paraId="449EBD8B" w14:textId="77777777" w:rsidTr="00AE10B5">
        <w:tc>
          <w:tcPr>
            <w:tcW w:w="3024" w:type="dxa"/>
          </w:tcPr>
          <w:p w14:paraId="57F731D6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413FB8BB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18DA4EA5" w14:textId="77777777"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архитектурного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4522"/>
      </w:tblGrid>
      <w:tr w:rsidR="00344A9B" w:rsidRPr="00344A9B" w14:paraId="6BF9C8C2" w14:textId="77777777" w:rsidTr="00AE10B5">
        <w:tc>
          <w:tcPr>
            <w:tcW w:w="3024" w:type="dxa"/>
          </w:tcPr>
          <w:p w14:paraId="0A07DEEB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14:paraId="6AFFA214" w14:textId="77777777"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14:paraId="68979F1A" w14:textId="77777777"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14:paraId="1BBFA68D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14:paraId="78FD532C" w14:textId="77777777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2653D9A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0F8F046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926712B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2D039E4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2949AD4E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A8A5C23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344A9B" w:rsidRPr="005B1A16" w14:paraId="16AFFDA3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C27C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 о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месте  нахождения  образовательной организации, ее представительств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E07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2C9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E9EAA5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095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E448BB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B71D357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251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ADA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39D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8E75E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381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244FB8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CEC26B9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890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828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06C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F0869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660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CB0279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EECA0BF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50B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373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–  информация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представлена частично (отсутствует информация хотя бы об одном структурном подразделении или требуемая информация представлена не в полном объеме)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6F2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34A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F70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4EBA38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F3DC277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9627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3D0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лицензия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B7E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B16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3EF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9069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72F6A186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4385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Свидетельства о государственной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аккредитации  (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1B8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аккредитации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196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B087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0DA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B3B74A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BB74EE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8BBC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A77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перечисленных актов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)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E63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3E2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140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4FFB47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2E93A11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8264" w14:textId="77777777"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стоимости  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по  каждой  образовательной программе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E515" w14:textId="77777777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 </w:t>
            </w:r>
          </w:p>
          <w:p w14:paraId="22283DA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3D81" w14:textId="77777777"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7826" w14:textId="77777777" w:rsidR="00344A9B" w:rsidRPr="005B1A16" w:rsidRDefault="00AE10B5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0E1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CBC67D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105828C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5B2A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54EB" w14:textId="77777777"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7E317C1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159D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91100F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419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D646F1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61D3B19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DE25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приложением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0E81" w14:textId="77777777"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40BC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25EA" w14:textId="77777777" w:rsidR="00344A9B" w:rsidRPr="005B1A16" w:rsidRDefault="0099399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760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B77985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E559B56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E59B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Образовательные организации, реализующие общеобразовательные программы, дополнительно к информации, предусмотренной пунктом 3 Правил размещения информации на сайте,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lastRenderedPageBreak/>
              <w:t>указывают  наименование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образовательной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35A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отсутствует; 99 – общеобразовательные программы не реализуются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8F3E" w14:textId="77777777"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98F46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6B8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14BA71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033BEC9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E963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6F2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 0,5 –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06F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D221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1B0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AA8EC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F3E90DC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E6BB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793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сотрудникам; 0,5 – информация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F13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1BD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4A5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0BDDFC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12FAA13" w14:textId="77777777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3146" w14:textId="77777777"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питания обучающихся,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0CE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651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6F0EA2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19B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C6A32E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C9C72F1" w14:textId="77777777"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14:paraId="78F271CC" w14:textId="77777777"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14:paraId="46AF37AD" w14:textId="77777777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8048EAE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1E26E85" w14:textId="77777777"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6B6BED4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3BC3B50A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5E051B4B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14:paraId="04F50436" w14:textId="77777777"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344A9B" w:rsidRPr="005B1A16" w14:paraId="17BBC2F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BA3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DB8B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32F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6962FC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1E7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4A5625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5F0EFB9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1E4C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учредителе, учредителях образовательной организации, о представительствах 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филиалах  образовательной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0A6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AFA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89421B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212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F4C87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753667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3AE4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F68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474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1E5250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DDF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7B1B40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2255C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2CA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066B" w14:textId="77777777"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36B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013466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801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6169B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A64DD8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45CE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9E2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контактный(е) телефон(ы) и адрес(а) электронной почты); 0,5 – информация представлена частично 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AEA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4C3C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4E2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083C68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8B535A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3066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A747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–  информация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представлена частично (отсутствует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09B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75F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393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7DF330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B04D5B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7A7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))*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0A2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объеме; 0,5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–  информация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представлена частично (отсутствует информация хотя бы об одном структурном подразделении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D7A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1F2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BE5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E3E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29D86EE5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4558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15B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D1A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ED24BD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2BE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F06257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25166E1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1C3C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09DB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лицензии на осуществление образовательной деятельности (без приложений);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EB4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D38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7A6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59B4FCD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67678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A5DF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аккредитации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3793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4ACDAE4" w14:textId="77777777"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  <w:p w14:paraId="06564A8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CD8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552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EAA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14AE1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CCEE7E2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37E0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6F0E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4E6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CC382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2A9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2D6282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1BA39EC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BE25" w14:textId="77777777"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3A4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перечисленных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8F6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6BE9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AF6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64A92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0D674D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FD2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D87E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3D2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A8AEF4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844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80AF6C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A5AF3C2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1A57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6B8C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D79C21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92D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366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BD0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87E8FA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A95B09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62262" w14:textId="77777777"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Документ об установлении размера платы, взимаемой с родителей (законных представителей) за содержание детей в образовательной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1D95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B293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07B65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BA96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F92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4020F705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95BB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1C32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7D3C8E5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соответствующем разделе, что они отсутствуют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9A3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039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D39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32C936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84316AD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51A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образования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87E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812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D529AD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3CF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B2EAA2A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049481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C9C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DCD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0BA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91CE0D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E77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F62119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DE63181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4E6E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B50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393E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7C9AA6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530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170C29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D13CCC5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C98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10B7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235DEE7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DE4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8088F6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0F5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81FF55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53B7A50E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63F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5EF0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C1C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D52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941B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FDC691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A7F03C8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F80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2A1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55A8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CD9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351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5BC0E5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D60A98D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0A3E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A64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66C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EBD7" w14:textId="77777777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6C6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2DC6D7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ABD71D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63F5" w14:textId="77777777"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90C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4BC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E674" w14:textId="77777777"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EAF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E973AF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2B36D6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1EB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5BF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4536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9C4F5B8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6A2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7DC8A5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02557C9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5E7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образовательных программах, в том числе о реализуемых адаптированных образовательных про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B93A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BB6A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1F2A714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6E6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C9736F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7069B6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859F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использовании при реализации указанных образовательных программ электронного обучения и дистанционных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4092B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796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F9D786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B13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5DDBF7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460AA9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DB1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D432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64C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D6AB4E7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EBF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52A573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4155B7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C230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7DC8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14:paraId="6810536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 – </w:t>
            </w:r>
            <w:proofErr w:type="gramStart"/>
            <w:r>
              <w:rPr>
                <w:color w:val="000000"/>
                <w:sz w:val="20"/>
                <w:szCs w:val="20"/>
              </w:rPr>
              <w:t>общеобразовательные  программы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3FB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F04B973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618C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F97E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5162BCEC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15BD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B2E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071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8F43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E6FE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A3B5617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0B1F3E7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7A4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001D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(по всем сотрудникам); 0,5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–  информация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17D9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CC5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8CF5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50954FB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0620053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9300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3CF1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 в полном объеме (по всем сотрудникам); 0,5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–  информация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представлена частично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5D081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AE86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ED00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483D3D2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77D86B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2C3F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  государственной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3A4B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 (по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всем  сотрудникам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>);   0,5  –  информация  представлена частично  (не  по  всем  местам осуществления  образовательной деятельности или не в полном объеме в  соответствии  с  требованиями столбца 2);  0 – информация отсутствует</w:t>
            </w:r>
          </w:p>
          <w:p w14:paraId="7189F4B5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BD10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EBA5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1B2A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B820EC5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14:paraId="7BC4707B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EABB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D00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1  –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информация  представлена  в полном объеме;  0,5 – информация представлена частично (не в полном объеме в соответствии с требованиями столбца 2); 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F941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F740" w14:textId="77777777"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1469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605E8E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2C16770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0FFA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DB5DF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13DC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9A1D5AE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70AB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9E21EB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3BF128E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116D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3EFE" w14:textId="77777777"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85C592F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41C8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BA66A1A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361E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2C61276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0C3377C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7BBB0" w14:textId="77777777"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0A34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60BB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BB7B8BB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ACC1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68E6B9D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73CEE364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5488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BFFE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6443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4105B3E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51DB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91633D2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6A79635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66F1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0FE2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0CE4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C898515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304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A5498DF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399D076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34D6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E337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76EC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960E938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C6A3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4D42504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2A79D97F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0643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предоставления обучающимся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297B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вида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382A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4CF6CF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F58F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19D4C03" w14:textId="77777777"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233494C6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9EC7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наличии)*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F043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2E7A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9E5ECF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8A9D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87AA" w14:textId="77777777" w:rsidR="00344A9B" w:rsidRPr="005B1A16" w:rsidRDefault="00EC50A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14:paraId="275C06AC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27E7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трудоустройстве выпускников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96B2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F2F8" w14:textId="77777777"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69DF8CD" w14:textId="77777777"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88BF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6B0CAA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FE9580A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B454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A4B4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4AFC" w14:textId="77777777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3B264DE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4F69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4F757A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415E3817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32FA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7545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8060" w14:textId="77777777"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FABD870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1A60" w14:textId="77777777"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F4FBEF9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14:paraId="17EFD7A5" w14:textId="77777777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97D5" w14:textId="77777777"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образовательной  программе, профессии, специальности, направлению подготовки 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992E" w14:textId="77777777"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образовательным программам; 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222C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CF1E" w14:textId="77777777"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A9A3" w14:textId="77777777"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3D2D8FBB" w14:textId="77777777"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7309F31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4F581B3A" w14:textId="77777777"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14:paraId="021966A7" w14:textId="77777777"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 xml:space="preserve"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 </w:t>
      </w:r>
    </w:p>
    <w:p w14:paraId="2383BB55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"/>
        <w:gridCol w:w="6746"/>
        <w:gridCol w:w="2430"/>
      </w:tblGrid>
      <w:tr w:rsidR="00344A9B" w:rsidRPr="001321B4" w14:paraId="69916F99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FB67B3C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14:paraId="66A25E9F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7E14F1F1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492B83E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14:paraId="0BB2E896" w14:textId="77777777"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1E24E3CE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27C3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BE3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835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44A9B" w:rsidRPr="001321B4" w14:paraId="026EE895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48E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4056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84A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7D094B99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A5B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880A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F4D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50C6CAFC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BE2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6E51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4DF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14:paraId="433F65D8" w14:textId="77777777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591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B94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900" w14:textId="77777777"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7232D812" w14:textId="77777777"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23982B1E" w14:textId="77777777"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государственных и муниципальных учреждениях в информационно-телекоммуникационной сети «Интернет»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7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990"/>
        <w:gridCol w:w="990"/>
      </w:tblGrid>
      <w:tr w:rsidR="00EC50A2" w:rsidRPr="00EC50A2" w14:paraId="10A5DAAA" w14:textId="77777777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AEC0D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E7381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21254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14:paraId="0CAC72E9" w14:textId="77777777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25D6F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75592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AB19B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14:paraId="3ECD4B2C" w14:textId="77777777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101D3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FE9CC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91166" w14:textId="77777777"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14:paraId="64C9BE02" w14:textId="77777777"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14:paraId="2A8B4991" w14:textId="77777777"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14:paraId="3C91F64D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46A2AB68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14:paraId="6996A0E7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 w:firstRow="1" w:lastRow="0" w:firstColumn="1" w:lastColumn="0" w:noHBand="0" w:noVBand="1"/>
      </w:tblPr>
      <w:tblGrid>
        <w:gridCol w:w="743"/>
        <w:gridCol w:w="6199"/>
        <w:gridCol w:w="2403"/>
      </w:tblGrid>
      <w:tr w:rsidR="00344A9B" w:rsidRPr="001321B4" w14:paraId="444DFD8B" w14:textId="77777777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14:paraId="52A79BE1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313D80A" w14:textId="77777777"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B53AE2F" w14:textId="77777777"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14:paraId="6166D36A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E60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3C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F2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3766779A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A77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2B9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E5E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1871D646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569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1E83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AAF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01416A44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081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E08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44B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14:paraId="2F6120D0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E16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525A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C44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344A9B" w:rsidRPr="001321B4" w14:paraId="084FCA2C" w14:textId="77777777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9AC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AB8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983" w14:textId="77777777"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</w:tbl>
    <w:p w14:paraId="780BBCE4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14:paraId="755A7EE5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lastRenderedPageBreak/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14:paraId="2BC31200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помещений с учетом доступности для инвалидов:</w:t>
      </w:r>
    </w:p>
    <w:p w14:paraId="759658BF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8173"/>
        <w:gridCol w:w="751"/>
      </w:tblGrid>
      <w:tr w:rsidR="00344A9B" w:rsidRPr="001321B4" w14:paraId="4984394D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3D793EB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0527404" w14:textId="77777777"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16398889" w14:textId="77777777"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14:paraId="3837A365" w14:textId="77777777"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14:paraId="49649FF5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7101E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2443C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9D04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3506893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5D5C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66B7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6195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7A5CF7A7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81E8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C6518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22F6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4B633708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5BC06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23D9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B045D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56DAF5DA" w14:textId="77777777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3002E" w14:textId="77777777"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AA91E" w14:textId="77777777"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DDE1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14:paraId="0370D80C" w14:textId="77777777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271" w14:textId="77777777"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F26" w14:textId="77777777"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30" w14:textId="77777777"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</w:tbl>
    <w:p w14:paraId="1B1CF956" w14:textId="77777777"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14:paraId="41961BD4" w14:textId="77777777"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14:paraId="36B667B6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845"/>
      </w:tblGrid>
      <w:tr w:rsidR="00344A9B" w:rsidRPr="00EC50A2" w14:paraId="12050E6D" w14:textId="77777777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0EB586D7" w14:textId="77777777"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650291C9" w14:textId="77777777"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14:paraId="2E9FC841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14:paraId="42D21F3C" w14:textId="77777777"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14:paraId="19AD81A1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725F7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861AE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807BC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E3EBBF8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2B829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FB8FC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88F51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C569AA8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DCCA6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0AE94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65F67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055F8B4C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E743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EA12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37F18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DD6AFF7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9257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E221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8F39D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1F9586D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8014" w14:textId="77777777"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367F2" w14:textId="77777777"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758E0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14:paraId="43C04A77" w14:textId="77777777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21947" w14:textId="77777777"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DCD" w14:textId="77777777"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70679" w14:textId="77777777"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</w:tbl>
    <w:p w14:paraId="42F59078" w14:textId="77777777"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14:paraId="61B4323E" w14:textId="77777777" w:rsidR="00344A9B" w:rsidRPr="005B1A16" w:rsidRDefault="00344A9B" w:rsidP="00C2303B">
      <w:pPr>
        <w:spacing w:line="233" w:lineRule="auto"/>
        <w:rPr>
          <w:b/>
          <w:i/>
        </w:rPr>
      </w:pPr>
    </w:p>
    <w:p w14:paraId="58F86EE1" w14:textId="77777777"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14:paraId="4DC29F54" w14:textId="77777777"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14:paraId="3E674171" w14:textId="77777777"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14:paraId="1A46636B" w14:textId="77777777" w:rsidR="00C2303B" w:rsidRDefault="00C2303B" w:rsidP="00C2303B">
      <w:pPr>
        <w:spacing w:line="233" w:lineRule="auto"/>
      </w:pPr>
    </w:p>
    <w:p w14:paraId="1960D1C5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14:paraId="325C3A80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14:paraId="173D025D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14:paraId="1A9076AA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14:paraId="3325192C" w14:textId="77777777"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обследования______________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8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81C3" w14:textId="77777777" w:rsidR="00174846" w:rsidRDefault="00174846" w:rsidP="00B1410A">
      <w:r>
        <w:separator/>
      </w:r>
    </w:p>
  </w:endnote>
  <w:endnote w:type="continuationSeparator" w:id="0">
    <w:p w14:paraId="5AF8579B" w14:textId="77777777" w:rsidR="00174846" w:rsidRDefault="00174846" w:rsidP="00B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5046" w14:textId="77777777" w:rsidR="00174846" w:rsidRDefault="00174846" w:rsidP="00B1410A">
      <w:r>
        <w:separator/>
      </w:r>
    </w:p>
  </w:footnote>
  <w:footnote w:type="continuationSeparator" w:id="0">
    <w:p w14:paraId="29E84C6D" w14:textId="77777777" w:rsidR="00174846" w:rsidRDefault="00174846" w:rsidP="00B1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8270165" w14:textId="77777777" w:rsidR="00B1410A" w:rsidRPr="00B1410A" w:rsidRDefault="00B1410A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B7115B">
          <w:rPr>
            <w:noProof/>
            <w:sz w:val="20"/>
            <w:szCs w:val="20"/>
          </w:rPr>
          <w:t>9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9B"/>
    <w:rsid w:val="001321B4"/>
    <w:rsid w:val="00174846"/>
    <w:rsid w:val="00344A9B"/>
    <w:rsid w:val="0052023D"/>
    <w:rsid w:val="00993992"/>
    <w:rsid w:val="00AE10B5"/>
    <w:rsid w:val="00B1410A"/>
    <w:rsid w:val="00B7115B"/>
    <w:rsid w:val="00C2303B"/>
    <w:rsid w:val="00C66303"/>
    <w:rsid w:val="00EC50A2"/>
    <w:rsid w:val="00F434B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DC60"/>
  <w15:chartTrackingRefBased/>
  <w15:docId w15:val="{2A277F7E-8450-4295-902A-EFF30D0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2021-11-08T11:39:00Z</dcterms:created>
  <dcterms:modified xsi:type="dcterms:W3CDTF">2021-11-08T11:39:00Z</dcterms:modified>
</cp:coreProperties>
</file>